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AE" w:rsidRDefault="00C2512C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b/>
          <w:color w:val="000000"/>
          <w:sz w:val="24"/>
          <w:szCs w:val="24"/>
        </w:rPr>
      </w:pPr>
      <w:r>
        <w:rPr>
          <w:rFonts w:ascii="Georgia" w:hAnsi="Georgia" w:cs="AdvPTimes"/>
          <w:b/>
          <w:color w:val="000000"/>
          <w:sz w:val="24"/>
          <w:szCs w:val="24"/>
        </w:rPr>
        <w:t xml:space="preserve">Note: </w:t>
      </w:r>
      <w:r w:rsidR="00FC0CAE" w:rsidRPr="00C2512C">
        <w:rPr>
          <w:rFonts w:ascii="Georgia" w:hAnsi="Georgia" w:cs="AdvPTimes"/>
          <w:b/>
          <w:color w:val="000000"/>
          <w:sz w:val="24"/>
          <w:szCs w:val="24"/>
        </w:rPr>
        <w:t>These references are NOT in the correct format.</w:t>
      </w:r>
      <w:r w:rsidR="00303E48">
        <w:rPr>
          <w:rFonts w:ascii="Georgia" w:hAnsi="Georgia" w:cs="AdvPTimes"/>
          <w:b/>
          <w:color w:val="000000"/>
          <w:sz w:val="24"/>
          <w:szCs w:val="24"/>
        </w:rPr>
        <w:t xml:space="preserve"> Some are incomplete.</w:t>
      </w:r>
      <w:r w:rsidR="00FC0CAE" w:rsidRPr="00C2512C">
        <w:rPr>
          <w:rFonts w:ascii="Georgia" w:hAnsi="Georgia" w:cs="AdvPTimes"/>
          <w:b/>
          <w:color w:val="000000"/>
          <w:sz w:val="24"/>
          <w:szCs w:val="24"/>
        </w:rPr>
        <w:t xml:space="preserve">  </w:t>
      </w:r>
      <w:r>
        <w:rPr>
          <w:rFonts w:ascii="Georgia" w:hAnsi="Georgia" w:cs="AdvPTimes"/>
          <w:b/>
          <w:color w:val="000000"/>
          <w:sz w:val="24"/>
          <w:szCs w:val="24"/>
        </w:rPr>
        <w:t>Put them in ASA Style format.  Also needed are hanging indents. See Library Guide for Political Science for how to do hanging indents with reference list.</w:t>
      </w:r>
    </w:p>
    <w:p w:rsidR="00C2512C" w:rsidRDefault="00C2512C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b/>
          <w:color w:val="000000"/>
          <w:sz w:val="24"/>
          <w:szCs w:val="24"/>
        </w:rPr>
      </w:pPr>
    </w:p>
    <w:p w:rsidR="00C2512C" w:rsidRPr="00C2512C" w:rsidRDefault="00C2512C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b/>
          <w:color w:val="000000"/>
          <w:sz w:val="24"/>
          <w:szCs w:val="24"/>
        </w:rPr>
      </w:pPr>
    </w:p>
    <w:p w:rsidR="00FC0CAE" w:rsidRPr="00FC0CAE" w:rsidRDefault="00FC0CAE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color w:val="000000"/>
          <w:sz w:val="24"/>
          <w:szCs w:val="24"/>
        </w:rPr>
      </w:pPr>
    </w:p>
    <w:p w:rsidR="00FC0CAE" w:rsidRPr="00FC0CAE" w:rsidRDefault="00FC0CAE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color w:val="000000"/>
          <w:sz w:val="24"/>
          <w:szCs w:val="24"/>
        </w:rPr>
      </w:pPr>
      <w:proofErr w:type="spellStart"/>
      <w:proofErr w:type="gramStart"/>
      <w:r w:rsidRPr="00FC0CAE">
        <w:rPr>
          <w:rFonts w:ascii="Georgia" w:hAnsi="Georgia" w:cs="AdvPTimes"/>
          <w:color w:val="000000"/>
          <w:sz w:val="24"/>
          <w:szCs w:val="24"/>
        </w:rPr>
        <w:t>Cialdini</w:t>
      </w:r>
      <w:proofErr w:type="spellEnd"/>
      <w:r w:rsidRPr="00FC0CAE">
        <w:rPr>
          <w:rFonts w:ascii="Georgia" w:hAnsi="Georgia" w:cs="AdvPTimes"/>
          <w:color w:val="000000"/>
          <w:sz w:val="24"/>
          <w:szCs w:val="24"/>
        </w:rPr>
        <w:t xml:space="preserve">, R. B., &amp; </w:t>
      </w:r>
      <w:proofErr w:type="spellStart"/>
      <w:r w:rsidR="0030139E">
        <w:rPr>
          <w:rFonts w:ascii="Georgia" w:hAnsi="Georgia" w:cs="AdvPTimes"/>
          <w:color w:val="000000"/>
          <w:sz w:val="24"/>
          <w:szCs w:val="24"/>
        </w:rPr>
        <w:t>Trost</w:t>
      </w:r>
      <w:proofErr w:type="spellEnd"/>
      <w:r w:rsidR="0030139E">
        <w:rPr>
          <w:rFonts w:ascii="Georgia" w:hAnsi="Georgia" w:cs="AdvPTimes"/>
          <w:color w:val="000000"/>
          <w:sz w:val="24"/>
          <w:szCs w:val="24"/>
        </w:rPr>
        <w:t>, M. R. 1998</w:t>
      </w:r>
      <w:r w:rsidRPr="00FC0CAE">
        <w:rPr>
          <w:rFonts w:ascii="Georgia" w:hAnsi="Georgia" w:cs="AdvPTimes"/>
          <w:color w:val="000000"/>
          <w:sz w:val="24"/>
          <w:szCs w:val="24"/>
        </w:rPr>
        <w:t>.</w:t>
      </w:r>
      <w:proofErr w:type="gramEnd"/>
      <w:r w:rsidRPr="00FC0CAE">
        <w:rPr>
          <w:rFonts w:ascii="Georgia" w:hAnsi="Georgia" w:cs="AdvPTimes"/>
          <w:color w:val="000000"/>
          <w:sz w:val="24"/>
          <w:szCs w:val="24"/>
        </w:rPr>
        <w:t xml:space="preserve"> </w:t>
      </w:r>
      <w:proofErr w:type="gramStart"/>
      <w:r w:rsidRPr="00FC0CAE">
        <w:rPr>
          <w:rFonts w:ascii="Georgia" w:hAnsi="Georgia" w:cs="AdvPTimes"/>
          <w:color w:val="000000"/>
          <w:sz w:val="24"/>
          <w:szCs w:val="24"/>
        </w:rPr>
        <w:t>“Social influence, social norms, conformity, and compliance.”</w:t>
      </w:r>
      <w:proofErr w:type="gramEnd"/>
      <w:r w:rsidRPr="00FC0CAE">
        <w:rPr>
          <w:rFonts w:ascii="Georgia" w:hAnsi="Georgia" w:cs="AdvPTimes"/>
          <w:color w:val="000000"/>
          <w:sz w:val="24"/>
          <w:szCs w:val="24"/>
        </w:rPr>
        <w:t xml:space="preserve"> In</w:t>
      </w:r>
      <w:r w:rsidR="0029480F">
        <w:rPr>
          <w:rFonts w:ascii="Georgia" w:hAnsi="Georgia" w:cs="AdvPTimes"/>
          <w:color w:val="000000"/>
          <w:sz w:val="24"/>
          <w:szCs w:val="24"/>
        </w:rPr>
        <w:t xml:space="preserve"> </w:t>
      </w:r>
      <w:r w:rsidRPr="00FC0CAE">
        <w:rPr>
          <w:rFonts w:ascii="Georgia" w:hAnsi="Georgia" w:cs="AdvPTimes"/>
          <w:color w:val="000000"/>
          <w:sz w:val="24"/>
          <w:szCs w:val="24"/>
        </w:rPr>
        <w:t xml:space="preserve">D. T. Gilbert, S. T. Fiske, &amp; G. </w:t>
      </w:r>
      <w:proofErr w:type="spellStart"/>
      <w:r w:rsidRPr="00FC0CAE">
        <w:rPr>
          <w:rFonts w:ascii="Georgia" w:hAnsi="Georgia" w:cs="AdvPTimes"/>
          <w:color w:val="000000"/>
          <w:sz w:val="24"/>
          <w:szCs w:val="24"/>
        </w:rPr>
        <w:t>Lindzey</w:t>
      </w:r>
      <w:proofErr w:type="spellEnd"/>
      <w:r w:rsidRPr="00FC0CAE">
        <w:rPr>
          <w:rFonts w:ascii="Georgia" w:hAnsi="Georgia" w:cs="AdvPTimes"/>
          <w:color w:val="000000"/>
          <w:sz w:val="24"/>
          <w:szCs w:val="24"/>
        </w:rPr>
        <w:t xml:space="preserve"> (Eds.), </w:t>
      </w:r>
      <w:proofErr w:type="gramStart"/>
      <w:r w:rsidRPr="00FC0CAE">
        <w:rPr>
          <w:rFonts w:ascii="Georgia" w:hAnsi="Georgia" w:cs="AdvPTimes"/>
          <w:color w:val="000000"/>
          <w:sz w:val="24"/>
          <w:szCs w:val="24"/>
        </w:rPr>
        <w:t>In</w:t>
      </w:r>
      <w:proofErr w:type="gramEnd"/>
      <w:r w:rsidRPr="00FC0CAE">
        <w:rPr>
          <w:rFonts w:ascii="Georgia" w:hAnsi="Georgia" w:cs="AdvPTimes"/>
          <w:color w:val="000000"/>
          <w:sz w:val="24"/>
          <w:szCs w:val="24"/>
        </w:rPr>
        <w:t xml:space="preserve"> </w:t>
      </w:r>
      <w:r w:rsidRPr="00FC0CAE">
        <w:rPr>
          <w:rFonts w:ascii="Georgia" w:hAnsi="Georgia" w:cs="AdvPTimesI"/>
          <w:i/>
          <w:color w:val="000000"/>
          <w:sz w:val="24"/>
          <w:szCs w:val="24"/>
        </w:rPr>
        <w:t>The handbook of social psychology</w:t>
      </w:r>
      <w:r w:rsidRPr="00FC0CAE">
        <w:rPr>
          <w:rFonts w:ascii="Georgia" w:hAnsi="Georgia" w:cs="AdvPTimesI"/>
          <w:color w:val="000000"/>
          <w:sz w:val="24"/>
          <w:szCs w:val="24"/>
        </w:rPr>
        <w:t xml:space="preserve"> </w:t>
      </w:r>
      <w:r w:rsidRPr="00FC0CAE">
        <w:rPr>
          <w:rFonts w:ascii="Georgia" w:hAnsi="Georgia" w:cs="AdvPTimes"/>
          <w:color w:val="000000"/>
          <w:sz w:val="24"/>
          <w:szCs w:val="24"/>
        </w:rPr>
        <w:t>(Vol. 2).</w:t>
      </w:r>
      <w:r w:rsidR="0029480F">
        <w:rPr>
          <w:rFonts w:ascii="Georgia" w:hAnsi="Georgia" w:cs="AdvPTimes"/>
          <w:color w:val="000000"/>
          <w:sz w:val="24"/>
          <w:szCs w:val="24"/>
        </w:rPr>
        <w:t xml:space="preserve"> </w:t>
      </w:r>
      <w:r w:rsidRPr="00FC0CAE">
        <w:rPr>
          <w:rFonts w:ascii="Georgia" w:hAnsi="Georgia" w:cs="AdvPTimes"/>
          <w:color w:val="000000"/>
          <w:sz w:val="24"/>
          <w:szCs w:val="24"/>
        </w:rPr>
        <w:t xml:space="preserve">New York: Oxford University Press, </w:t>
      </w:r>
    </w:p>
    <w:p w:rsidR="00FC0CAE" w:rsidRPr="00FC0CAE" w:rsidRDefault="00FC0CAE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color w:val="000000"/>
          <w:sz w:val="24"/>
          <w:szCs w:val="24"/>
        </w:rPr>
      </w:pPr>
    </w:p>
    <w:p w:rsidR="00FC0CAE" w:rsidRPr="00FC0CAE" w:rsidRDefault="004B6C13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color w:val="000000"/>
          <w:sz w:val="24"/>
          <w:szCs w:val="24"/>
        </w:rPr>
      </w:pPr>
      <w:proofErr w:type="gramStart"/>
      <w:r>
        <w:rPr>
          <w:rFonts w:ascii="Georgia" w:hAnsi="Georgia" w:cs="AdvPTimes"/>
          <w:color w:val="000000"/>
          <w:sz w:val="24"/>
          <w:szCs w:val="24"/>
        </w:rPr>
        <w:t>Downs, A.</w:t>
      </w:r>
      <w:proofErr w:type="gramEnd"/>
      <w:r>
        <w:rPr>
          <w:rFonts w:ascii="Georgia" w:hAnsi="Georgia" w:cs="AdvPTimes"/>
          <w:color w:val="000000"/>
          <w:sz w:val="24"/>
          <w:szCs w:val="24"/>
        </w:rPr>
        <w:t xml:space="preserve"> </w:t>
      </w:r>
      <w:r w:rsidR="001A2D44">
        <w:rPr>
          <w:rFonts w:ascii="Georgia" w:hAnsi="Georgia" w:cs="AdvPTimes"/>
          <w:color w:val="000000"/>
          <w:sz w:val="24"/>
          <w:szCs w:val="24"/>
        </w:rPr>
        <w:t xml:space="preserve"> (</w:t>
      </w:r>
      <w:r>
        <w:rPr>
          <w:rFonts w:ascii="Georgia" w:hAnsi="Georgia" w:cs="AdvPTimes"/>
          <w:color w:val="000000"/>
          <w:sz w:val="24"/>
          <w:szCs w:val="24"/>
        </w:rPr>
        <w:t>1957</w:t>
      </w:r>
      <w:r w:rsidR="001A2D44">
        <w:rPr>
          <w:rFonts w:ascii="Georgia" w:hAnsi="Georgia" w:cs="AdvPTimes"/>
          <w:color w:val="000000"/>
          <w:sz w:val="24"/>
          <w:szCs w:val="24"/>
        </w:rPr>
        <w:t>)</w:t>
      </w:r>
      <w:r w:rsidR="00FC0CAE" w:rsidRPr="00FC0CAE">
        <w:rPr>
          <w:rFonts w:ascii="Georgia" w:hAnsi="Georgia" w:cs="AdvPTimes"/>
          <w:color w:val="000000"/>
          <w:sz w:val="24"/>
          <w:szCs w:val="24"/>
        </w:rPr>
        <w:t xml:space="preserve">. </w:t>
      </w:r>
      <w:proofErr w:type="gramStart"/>
      <w:r w:rsidR="00FC0CAE" w:rsidRPr="00FC0CAE">
        <w:rPr>
          <w:rFonts w:ascii="Georgia" w:hAnsi="Georgia" w:cs="AdvPTimesI"/>
          <w:color w:val="000000"/>
          <w:sz w:val="24"/>
          <w:szCs w:val="24"/>
        </w:rPr>
        <w:t>An</w:t>
      </w:r>
      <w:proofErr w:type="gramEnd"/>
      <w:r w:rsidR="00FC0CAE" w:rsidRPr="00FC0CAE">
        <w:rPr>
          <w:rFonts w:ascii="Georgia" w:hAnsi="Georgia" w:cs="AdvPTimesI"/>
          <w:color w:val="000000"/>
          <w:sz w:val="24"/>
          <w:szCs w:val="24"/>
        </w:rPr>
        <w:t xml:space="preserve"> economic theory of democracy</w:t>
      </w:r>
      <w:r w:rsidR="00FC0CAE" w:rsidRPr="00FC0CAE">
        <w:rPr>
          <w:rFonts w:ascii="Georgia" w:hAnsi="Georgia" w:cs="AdvPTimes"/>
          <w:color w:val="000000"/>
          <w:sz w:val="24"/>
          <w:szCs w:val="24"/>
        </w:rPr>
        <w:t>. New York: Harper &amp; Row.</w:t>
      </w:r>
    </w:p>
    <w:p w:rsidR="00FC0CAE" w:rsidRPr="00FC0CAE" w:rsidRDefault="00FC0CAE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color w:val="000000"/>
          <w:sz w:val="24"/>
          <w:szCs w:val="24"/>
        </w:rPr>
      </w:pPr>
    </w:p>
    <w:p w:rsidR="00FC0CAE" w:rsidRPr="00FC0CAE" w:rsidRDefault="00FC0CAE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color w:val="000000"/>
          <w:sz w:val="24"/>
          <w:szCs w:val="24"/>
        </w:rPr>
      </w:pPr>
    </w:p>
    <w:p w:rsidR="00FC0CAE" w:rsidRDefault="00FC0CAE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color w:val="000000"/>
          <w:sz w:val="24"/>
          <w:szCs w:val="24"/>
        </w:rPr>
      </w:pPr>
      <w:proofErr w:type="gramStart"/>
      <w:r w:rsidRPr="00FC0CAE">
        <w:rPr>
          <w:rFonts w:ascii="Georgia" w:hAnsi="Georgia" w:cs="AdvPTimes"/>
          <w:color w:val="000000"/>
          <w:sz w:val="24"/>
          <w:szCs w:val="24"/>
        </w:rPr>
        <w:t>Gerber, A. S., Green, D. P., &amp; Larimer, C. W. (2008).</w:t>
      </w:r>
      <w:proofErr w:type="gramEnd"/>
      <w:r w:rsidRPr="00FC0CAE">
        <w:rPr>
          <w:rFonts w:ascii="Georgia" w:hAnsi="Georgia" w:cs="AdvPTimes"/>
          <w:color w:val="000000"/>
          <w:sz w:val="24"/>
          <w:szCs w:val="24"/>
        </w:rPr>
        <w:t xml:space="preserve"> Social pressure and voter turnout: Evidence from a</w:t>
      </w:r>
      <w:r w:rsidR="0030139E">
        <w:rPr>
          <w:rFonts w:ascii="Georgia" w:hAnsi="Georgia" w:cs="AdvPTimes"/>
          <w:color w:val="000000"/>
          <w:sz w:val="24"/>
          <w:szCs w:val="24"/>
        </w:rPr>
        <w:t xml:space="preserve"> </w:t>
      </w:r>
      <w:r w:rsidRPr="00FC0CAE">
        <w:rPr>
          <w:rFonts w:ascii="Georgia" w:hAnsi="Georgia" w:cs="AdvPTimes"/>
          <w:color w:val="000000"/>
          <w:sz w:val="24"/>
          <w:szCs w:val="24"/>
        </w:rPr>
        <w:t>large-scale field experiment.</w:t>
      </w:r>
      <w:r w:rsidR="0030139E">
        <w:rPr>
          <w:rFonts w:ascii="Georgia" w:hAnsi="Georgia" w:cs="AdvPTimes"/>
          <w:color w:val="000000"/>
          <w:sz w:val="24"/>
          <w:szCs w:val="24"/>
        </w:rPr>
        <w:t xml:space="preserve"> </w:t>
      </w:r>
      <w:r w:rsidRPr="00FC0CAE">
        <w:rPr>
          <w:rFonts w:ascii="Georgia" w:hAnsi="Georgia" w:cs="AdvPTimes"/>
          <w:color w:val="000000"/>
          <w:sz w:val="24"/>
          <w:szCs w:val="24"/>
        </w:rPr>
        <w:t xml:space="preserve"> </w:t>
      </w:r>
      <w:r w:rsidRPr="0030139E">
        <w:rPr>
          <w:rFonts w:ascii="Georgia" w:hAnsi="Georgia" w:cs="AdvPTimesI"/>
          <w:i/>
          <w:color w:val="000000"/>
          <w:sz w:val="24"/>
          <w:szCs w:val="24"/>
        </w:rPr>
        <w:t>American Political Science Review</w:t>
      </w:r>
      <w:r w:rsidRPr="00FC0CAE">
        <w:rPr>
          <w:rFonts w:ascii="Georgia" w:hAnsi="Georgia" w:cs="AdvPTimesI"/>
          <w:color w:val="000000"/>
          <w:sz w:val="24"/>
          <w:szCs w:val="24"/>
        </w:rPr>
        <w:t>, 102</w:t>
      </w:r>
      <w:r w:rsidRPr="00FC0CAE">
        <w:rPr>
          <w:rFonts w:ascii="Georgia" w:hAnsi="Georgia" w:cs="AdvPTimes"/>
          <w:color w:val="000000"/>
          <w:sz w:val="24"/>
          <w:szCs w:val="24"/>
        </w:rPr>
        <w:t>(1), 33–48.</w:t>
      </w:r>
    </w:p>
    <w:p w:rsidR="00FC0CAE" w:rsidRPr="00FC0CAE" w:rsidRDefault="00FC0CAE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color w:val="000000"/>
          <w:sz w:val="24"/>
          <w:szCs w:val="24"/>
        </w:rPr>
      </w:pPr>
    </w:p>
    <w:p w:rsidR="00FC0CAE" w:rsidRPr="004A23A5" w:rsidRDefault="00FC0CAE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sz w:val="24"/>
          <w:szCs w:val="24"/>
        </w:rPr>
      </w:pPr>
      <w:proofErr w:type="gramStart"/>
      <w:r w:rsidRPr="004A23A5">
        <w:rPr>
          <w:rFonts w:ascii="Georgia" w:hAnsi="Georgia" w:cs="AdvPTimes"/>
          <w:sz w:val="24"/>
          <w:szCs w:val="24"/>
        </w:rPr>
        <w:t xml:space="preserve">Goldstein, N. J., </w:t>
      </w:r>
      <w:proofErr w:type="spellStart"/>
      <w:r w:rsidRPr="004A23A5">
        <w:rPr>
          <w:rFonts w:ascii="Georgia" w:hAnsi="Georgia" w:cs="AdvPTimes"/>
          <w:sz w:val="24"/>
          <w:szCs w:val="24"/>
        </w:rPr>
        <w:t>Cialdini</w:t>
      </w:r>
      <w:proofErr w:type="spellEnd"/>
      <w:r w:rsidRPr="004A23A5">
        <w:rPr>
          <w:rFonts w:ascii="Georgia" w:hAnsi="Georgia" w:cs="AdvPTimes"/>
          <w:sz w:val="24"/>
          <w:szCs w:val="24"/>
        </w:rPr>
        <w:t xml:space="preserve">, R. B., &amp; </w:t>
      </w:r>
      <w:proofErr w:type="spellStart"/>
      <w:r w:rsidRPr="004A23A5">
        <w:rPr>
          <w:rFonts w:ascii="Georgia" w:hAnsi="Georgia" w:cs="AdvPTimes"/>
          <w:sz w:val="24"/>
          <w:szCs w:val="24"/>
        </w:rPr>
        <w:t>Griskevicius</w:t>
      </w:r>
      <w:proofErr w:type="spellEnd"/>
      <w:r w:rsidRPr="004A23A5">
        <w:rPr>
          <w:rFonts w:ascii="Georgia" w:hAnsi="Georgia" w:cs="AdvPTimes"/>
          <w:sz w:val="24"/>
          <w:szCs w:val="24"/>
        </w:rPr>
        <w:t>, V. (2008).</w:t>
      </w:r>
      <w:proofErr w:type="gramEnd"/>
      <w:r w:rsidRPr="004A23A5">
        <w:rPr>
          <w:rFonts w:ascii="Georgia" w:hAnsi="Georgia" w:cs="AdvPTimes"/>
          <w:sz w:val="24"/>
          <w:szCs w:val="24"/>
        </w:rPr>
        <w:t xml:space="preserve"> A room with a viewpoint: Using social norms</w:t>
      </w:r>
      <w:r w:rsidR="0030139E">
        <w:rPr>
          <w:rFonts w:ascii="Georgia" w:hAnsi="Georgia" w:cs="AdvPTimes"/>
          <w:sz w:val="24"/>
          <w:szCs w:val="24"/>
        </w:rPr>
        <w:t xml:space="preserve"> </w:t>
      </w:r>
    </w:p>
    <w:p w:rsidR="00FC0CAE" w:rsidRDefault="00FC0CAE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sz w:val="24"/>
          <w:szCs w:val="24"/>
        </w:rPr>
      </w:pPr>
      <w:proofErr w:type="gramStart"/>
      <w:r w:rsidRPr="004A23A5">
        <w:rPr>
          <w:rFonts w:ascii="Georgia" w:hAnsi="Georgia" w:cs="AdvPTimes"/>
          <w:sz w:val="24"/>
          <w:szCs w:val="24"/>
        </w:rPr>
        <w:t>to</w:t>
      </w:r>
      <w:proofErr w:type="gramEnd"/>
      <w:r w:rsidRPr="004A23A5">
        <w:rPr>
          <w:rFonts w:ascii="Georgia" w:hAnsi="Georgia" w:cs="AdvPTimes"/>
          <w:sz w:val="24"/>
          <w:szCs w:val="24"/>
        </w:rPr>
        <w:t xml:space="preserve"> motivate environmental conservation in hotels. </w:t>
      </w:r>
      <w:r w:rsidRPr="004A23A5">
        <w:rPr>
          <w:rFonts w:ascii="Georgia" w:hAnsi="Georgia" w:cs="AdvPTimesI"/>
          <w:sz w:val="24"/>
          <w:szCs w:val="24"/>
        </w:rPr>
        <w:t>Journal of Consumer Research, 35</w:t>
      </w:r>
      <w:r w:rsidRPr="004A23A5">
        <w:rPr>
          <w:rFonts w:ascii="Georgia" w:hAnsi="Georgia" w:cs="AdvPTimes"/>
          <w:sz w:val="24"/>
          <w:szCs w:val="24"/>
        </w:rPr>
        <w:t>(3), 472–482.</w:t>
      </w:r>
    </w:p>
    <w:p w:rsidR="00C2512C" w:rsidRDefault="00C2512C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sz w:val="24"/>
          <w:szCs w:val="24"/>
        </w:rPr>
      </w:pPr>
    </w:p>
    <w:p w:rsidR="00C2512C" w:rsidRPr="004A23A5" w:rsidRDefault="00C2512C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sz w:val="24"/>
          <w:szCs w:val="24"/>
        </w:rPr>
      </w:pPr>
      <w:proofErr w:type="spellStart"/>
      <w:r>
        <w:rPr>
          <w:rFonts w:ascii="Georgia" w:hAnsi="Georgia" w:cs="AdvPTimes"/>
          <w:sz w:val="24"/>
          <w:szCs w:val="24"/>
        </w:rPr>
        <w:t>Grebner</w:t>
      </w:r>
      <w:proofErr w:type="spellEnd"/>
      <w:proofErr w:type="gramStart"/>
      <w:r>
        <w:rPr>
          <w:rFonts w:ascii="Georgia" w:hAnsi="Georgia" w:cs="AdvPTimes"/>
          <w:sz w:val="24"/>
          <w:szCs w:val="24"/>
        </w:rPr>
        <w:t>, ?.</w:t>
      </w:r>
      <w:proofErr w:type="gramEnd"/>
      <w:r>
        <w:rPr>
          <w:rFonts w:ascii="Georgia" w:hAnsi="Georgia" w:cs="AdvPTimes"/>
          <w:sz w:val="24"/>
          <w:szCs w:val="24"/>
        </w:rPr>
        <w:t xml:space="preserve"> 2010. Correspondence?????</w:t>
      </w:r>
    </w:p>
    <w:p w:rsidR="00FC0CAE" w:rsidRPr="004A23A5" w:rsidRDefault="00FC0CAE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sz w:val="24"/>
          <w:szCs w:val="24"/>
        </w:rPr>
      </w:pPr>
    </w:p>
    <w:p w:rsidR="00FC0CAE" w:rsidRPr="004A23A5" w:rsidRDefault="00FC0CAE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sz w:val="24"/>
          <w:szCs w:val="24"/>
        </w:rPr>
      </w:pPr>
      <w:r w:rsidRPr="004A23A5">
        <w:rPr>
          <w:rFonts w:ascii="Georgia" w:hAnsi="Georgia" w:cs="AdvPTimes"/>
          <w:sz w:val="24"/>
          <w:szCs w:val="24"/>
        </w:rPr>
        <w:t xml:space="preserve">Green, D. P., &amp; Gerber, A. S. (2008). </w:t>
      </w:r>
      <w:r w:rsidRPr="004A23A5">
        <w:rPr>
          <w:rFonts w:ascii="Georgia" w:hAnsi="Georgia" w:cs="AdvPTimesI"/>
          <w:sz w:val="24"/>
          <w:szCs w:val="24"/>
        </w:rPr>
        <w:t xml:space="preserve">Get out the vote: How to increase voter turnout </w:t>
      </w:r>
      <w:r w:rsidRPr="004A23A5">
        <w:rPr>
          <w:rFonts w:ascii="Georgia" w:hAnsi="Georgia" w:cs="AdvPTimes"/>
          <w:sz w:val="24"/>
          <w:szCs w:val="24"/>
        </w:rPr>
        <w:t xml:space="preserve">(2nd </w:t>
      </w:r>
      <w:proofErr w:type="gramStart"/>
      <w:r w:rsidRPr="004A23A5">
        <w:rPr>
          <w:rFonts w:ascii="Georgia" w:hAnsi="Georgia" w:cs="AdvPTimes"/>
          <w:sz w:val="24"/>
          <w:szCs w:val="24"/>
        </w:rPr>
        <w:t>ed</w:t>
      </w:r>
      <w:proofErr w:type="gramEnd"/>
      <w:r w:rsidRPr="004A23A5">
        <w:rPr>
          <w:rFonts w:ascii="Georgia" w:hAnsi="Georgia" w:cs="AdvPTimes"/>
          <w:sz w:val="24"/>
          <w:szCs w:val="24"/>
        </w:rPr>
        <w:t>.).</w:t>
      </w:r>
      <w:r w:rsidR="0030139E">
        <w:rPr>
          <w:rFonts w:ascii="Georgia" w:hAnsi="Georgia" w:cs="AdvPTimes"/>
          <w:sz w:val="24"/>
          <w:szCs w:val="24"/>
        </w:rPr>
        <w:t xml:space="preserve"> </w:t>
      </w:r>
      <w:r w:rsidRPr="004A23A5">
        <w:rPr>
          <w:rFonts w:ascii="Georgia" w:hAnsi="Georgia" w:cs="AdvPTimes"/>
          <w:sz w:val="24"/>
          <w:szCs w:val="24"/>
        </w:rPr>
        <w:t>Washington, DC: Brookings Institution Press.</w:t>
      </w:r>
    </w:p>
    <w:p w:rsidR="00FC0CAE" w:rsidRPr="004A23A5" w:rsidRDefault="00FC0CAE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sz w:val="24"/>
          <w:szCs w:val="24"/>
        </w:rPr>
      </w:pPr>
    </w:p>
    <w:p w:rsidR="00FC0CAE" w:rsidRPr="004A23A5" w:rsidRDefault="00FC0CAE" w:rsidP="00FC0CAE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sz w:val="24"/>
          <w:szCs w:val="24"/>
        </w:rPr>
      </w:pPr>
      <w:r w:rsidRPr="004A23A5">
        <w:rPr>
          <w:rFonts w:ascii="Georgia" w:hAnsi="Georgia" w:cs="AdvPTimes"/>
          <w:sz w:val="24"/>
          <w:szCs w:val="24"/>
        </w:rPr>
        <w:t>Green, D. P., Leong, T. Y., Kern, H. L., G</w:t>
      </w:r>
      <w:r w:rsidR="004B6C13">
        <w:rPr>
          <w:rFonts w:ascii="Georgia" w:hAnsi="Georgia" w:cs="AdvPTimes"/>
          <w:sz w:val="24"/>
          <w:szCs w:val="24"/>
        </w:rPr>
        <w:t>erber, A. S., &amp; Larimer, C. W. 2009</w:t>
      </w:r>
      <w:r w:rsidRPr="004A23A5">
        <w:rPr>
          <w:rFonts w:ascii="Georgia" w:hAnsi="Georgia" w:cs="AdvPTimes"/>
          <w:sz w:val="24"/>
          <w:szCs w:val="24"/>
        </w:rPr>
        <w:t xml:space="preserve">. Testing the accuracy </w:t>
      </w:r>
      <w:proofErr w:type="gramStart"/>
      <w:r w:rsidRPr="004A23A5">
        <w:rPr>
          <w:rFonts w:ascii="Georgia" w:hAnsi="Georgia" w:cs="AdvPTimes"/>
          <w:sz w:val="24"/>
          <w:szCs w:val="24"/>
        </w:rPr>
        <w:t>of</w:t>
      </w:r>
      <w:r w:rsidR="0030139E">
        <w:rPr>
          <w:rFonts w:ascii="Georgia" w:hAnsi="Georgia" w:cs="AdvPTimes"/>
          <w:sz w:val="24"/>
          <w:szCs w:val="24"/>
        </w:rPr>
        <w:t xml:space="preserve">  </w:t>
      </w:r>
      <w:r w:rsidRPr="004A23A5">
        <w:rPr>
          <w:rFonts w:ascii="Georgia" w:hAnsi="Georgia" w:cs="AdvPTimes"/>
          <w:sz w:val="24"/>
          <w:szCs w:val="24"/>
        </w:rPr>
        <w:t>regression</w:t>
      </w:r>
      <w:proofErr w:type="gramEnd"/>
      <w:r w:rsidRPr="004A23A5">
        <w:rPr>
          <w:rFonts w:ascii="Georgia" w:hAnsi="Georgia" w:cs="AdvPTimes"/>
          <w:sz w:val="24"/>
          <w:szCs w:val="24"/>
        </w:rPr>
        <w:t xml:space="preserve"> discontinuity analysis using experimental benchmarks. </w:t>
      </w:r>
      <w:r w:rsidRPr="004A23A5">
        <w:rPr>
          <w:rFonts w:ascii="Georgia" w:hAnsi="Georgia" w:cs="AdvPTimesI"/>
          <w:sz w:val="24"/>
          <w:szCs w:val="24"/>
        </w:rPr>
        <w:t>Political Analysis, 17</w:t>
      </w:r>
      <w:r w:rsidRPr="004A23A5">
        <w:rPr>
          <w:rFonts w:ascii="Georgia" w:hAnsi="Georgia" w:cs="AdvPTimes"/>
          <w:sz w:val="24"/>
          <w:szCs w:val="24"/>
        </w:rPr>
        <w:t>(4),</w:t>
      </w:r>
      <w:r w:rsidR="001A2D44">
        <w:rPr>
          <w:rFonts w:ascii="Georgia" w:hAnsi="Georgia" w:cs="AdvPTimes"/>
          <w:sz w:val="24"/>
          <w:szCs w:val="24"/>
        </w:rPr>
        <w:t xml:space="preserve"> </w:t>
      </w:r>
      <w:r w:rsidRPr="004A23A5">
        <w:rPr>
          <w:rFonts w:ascii="Georgia" w:hAnsi="Georgia" w:cs="AdvPTimes"/>
          <w:sz w:val="24"/>
          <w:szCs w:val="24"/>
        </w:rPr>
        <w:t>400–417.</w:t>
      </w:r>
    </w:p>
    <w:p w:rsidR="003954F1" w:rsidRDefault="003954F1" w:rsidP="00FC0CAE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6"/>
          <w:szCs w:val="16"/>
        </w:rPr>
      </w:pPr>
    </w:p>
    <w:p w:rsidR="00C2512C" w:rsidRDefault="00C2512C" w:rsidP="00FC0CAE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6"/>
          <w:szCs w:val="16"/>
        </w:rPr>
      </w:pPr>
    </w:p>
    <w:p w:rsidR="004B6C13" w:rsidRPr="004B6C13" w:rsidRDefault="004B6C13" w:rsidP="004B6C13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sz w:val="24"/>
          <w:szCs w:val="24"/>
        </w:rPr>
      </w:pPr>
      <w:r>
        <w:rPr>
          <w:rFonts w:ascii="Georgia" w:hAnsi="Georgia" w:cs="AdvPTimes"/>
          <w:sz w:val="24"/>
          <w:szCs w:val="24"/>
        </w:rPr>
        <w:t>Olson, M. 1965</w:t>
      </w:r>
      <w:r w:rsidRPr="004B6C13">
        <w:rPr>
          <w:rFonts w:ascii="Georgia" w:hAnsi="Georgia" w:cs="AdvPTimes"/>
          <w:sz w:val="24"/>
          <w:szCs w:val="24"/>
        </w:rPr>
        <w:t xml:space="preserve">. </w:t>
      </w:r>
      <w:r w:rsidRPr="004B6C13">
        <w:rPr>
          <w:rFonts w:ascii="Georgia" w:hAnsi="Georgia" w:cs="AdvPTimesI"/>
          <w:sz w:val="24"/>
          <w:szCs w:val="24"/>
        </w:rPr>
        <w:t>The logic of collective action: Public goods and the theory of groups</w:t>
      </w:r>
      <w:r w:rsidRPr="004B6C13">
        <w:rPr>
          <w:rFonts w:ascii="Georgia" w:hAnsi="Georgia" w:cs="AdvPTimes"/>
          <w:sz w:val="24"/>
          <w:szCs w:val="24"/>
        </w:rPr>
        <w:t>. Cambridge:</w:t>
      </w:r>
    </w:p>
    <w:p w:rsidR="004A23A5" w:rsidRPr="004B6C13" w:rsidRDefault="004B6C13" w:rsidP="004B6C13">
      <w:pPr>
        <w:autoSpaceDE w:val="0"/>
        <w:autoSpaceDN w:val="0"/>
        <w:adjustRightInd w:val="0"/>
        <w:spacing w:after="0" w:line="240" w:lineRule="auto"/>
        <w:rPr>
          <w:rFonts w:ascii="Georgia" w:hAnsi="Georgia" w:cs="AdvPTimes"/>
          <w:sz w:val="24"/>
          <w:szCs w:val="24"/>
        </w:rPr>
      </w:pPr>
      <w:proofErr w:type="gramStart"/>
      <w:r w:rsidRPr="004B6C13">
        <w:rPr>
          <w:rFonts w:ascii="Georgia" w:hAnsi="Georgia" w:cs="AdvPTimes"/>
          <w:sz w:val="24"/>
          <w:szCs w:val="24"/>
        </w:rPr>
        <w:t>Harvard University Press.</w:t>
      </w:r>
      <w:proofErr w:type="gramEnd"/>
    </w:p>
    <w:p w:rsidR="003954F1" w:rsidRDefault="003954F1" w:rsidP="00DB3A58">
      <w:pPr>
        <w:autoSpaceDE w:val="0"/>
        <w:autoSpaceDN w:val="0"/>
        <w:adjustRightInd w:val="0"/>
        <w:spacing w:after="0" w:line="240" w:lineRule="auto"/>
        <w:jc w:val="center"/>
        <w:rPr>
          <w:rFonts w:ascii="AdvPTimes" w:hAnsi="AdvPTimes" w:cs="AdvPTimes"/>
          <w:sz w:val="16"/>
          <w:szCs w:val="16"/>
        </w:rPr>
      </w:pPr>
    </w:p>
    <w:p w:rsidR="00FC0CAE" w:rsidRDefault="00FC0CAE" w:rsidP="00FC0CAE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16"/>
          <w:szCs w:val="16"/>
        </w:rPr>
      </w:pPr>
    </w:p>
    <w:p w:rsidR="00FC0CAE" w:rsidRDefault="00FC0CAE" w:rsidP="00FC0CAE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color w:val="000000"/>
          <w:sz w:val="16"/>
          <w:szCs w:val="16"/>
        </w:rPr>
      </w:pPr>
    </w:p>
    <w:sectPr w:rsidR="00FC0CAE" w:rsidSect="00F767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A58" w:rsidRDefault="00DB3A58" w:rsidP="00DB3A58">
      <w:pPr>
        <w:spacing w:after="0" w:line="240" w:lineRule="auto"/>
      </w:pPr>
      <w:r>
        <w:separator/>
      </w:r>
    </w:p>
  </w:endnote>
  <w:endnote w:type="continuationSeparator" w:id="0">
    <w:p w:rsidR="00DB3A58" w:rsidRDefault="00DB3A58" w:rsidP="00DB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A58" w:rsidRDefault="00DB3A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A58" w:rsidRPr="00DB3A58" w:rsidRDefault="00DB3A58" w:rsidP="00DB3A58">
    <w:pPr>
      <w:pStyle w:val="Footer"/>
      <w:ind w:left="2160"/>
      <w:rPr>
        <w:sz w:val="18"/>
        <w:szCs w:val="18"/>
      </w:rPr>
    </w:pPr>
    <w:r w:rsidRPr="00DB3A58">
      <w:rPr>
        <w:sz w:val="18"/>
        <w:szCs w:val="18"/>
      </w:rPr>
      <w:ptab w:relativeTo="margin" w:alignment="right" w:leader="none"/>
    </w:r>
    <w:r w:rsidRPr="00DB3A58">
      <w:rPr>
        <w:sz w:val="18"/>
        <w:szCs w:val="18"/>
      </w:rPr>
      <w:t>L:\CourseInformation\PSC 201\list of references used for sample paper not in proper format.docx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A58" w:rsidRDefault="00DB3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A58" w:rsidRDefault="00DB3A58" w:rsidP="00DB3A58">
      <w:pPr>
        <w:spacing w:after="0" w:line="240" w:lineRule="auto"/>
      </w:pPr>
      <w:r>
        <w:separator/>
      </w:r>
    </w:p>
  </w:footnote>
  <w:footnote w:type="continuationSeparator" w:id="0">
    <w:p w:rsidR="00DB3A58" w:rsidRDefault="00DB3A58" w:rsidP="00DB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A58" w:rsidRDefault="00DB3A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A58" w:rsidRDefault="00DB3A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A58" w:rsidRDefault="00DB3A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CAE"/>
    <w:rsid w:val="001A2D44"/>
    <w:rsid w:val="00236548"/>
    <w:rsid w:val="0029480F"/>
    <w:rsid w:val="0030139E"/>
    <w:rsid w:val="00303E48"/>
    <w:rsid w:val="003954F1"/>
    <w:rsid w:val="004364F1"/>
    <w:rsid w:val="004A23A5"/>
    <w:rsid w:val="004B6C13"/>
    <w:rsid w:val="004E7947"/>
    <w:rsid w:val="005C2DF5"/>
    <w:rsid w:val="00C2512C"/>
    <w:rsid w:val="00DB3A58"/>
    <w:rsid w:val="00F76747"/>
    <w:rsid w:val="00FC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3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3A58"/>
  </w:style>
  <w:style w:type="paragraph" w:styleId="Footer">
    <w:name w:val="footer"/>
    <w:basedOn w:val="Normal"/>
    <w:link w:val="FooterChar"/>
    <w:uiPriority w:val="99"/>
    <w:semiHidden/>
    <w:unhideWhenUsed/>
    <w:rsid w:val="00DB3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3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563D-4E8A-4BBC-8E55-55AA95F7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Barnello</dc:creator>
  <cp:keywords/>
  <dc:description/>
  <cp:lastModifiedBy>Barnello</cp:lastModifiedBy>
  <cp:revision>9</cp:revision>
  <dcterms:created xsi:type="dcterms:W3CDTF">2010-10-14T18:03:00Z</dcterms:created>
  <dcterms:modified xsi:type="dcterms:W3CDTF">2010-10-20T20:40:00Z</dcterms:modified>
</cp:coreProperties>
</file>