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2" w:rsidRPr="00FE525C" w:rsidRDefault="00D11482" w:rsidP="00FE525C">
      <w:pPr>
        <w:spacing w:after="0" w:line="240" w:lineRule="auto"/>
        <w:rPr>
          <w:b/>
          <w:bCs/>
          <w:sz w:val="28"/>
          <w:szCs w:val="28"/>
        </w:rPr>
      </w:pPr>
      <w:r w:rsidRPr="00FE525C">
        <w:rPr>
          <w:b/>
          <w:bCs/>
          <w:sz w:val="28"/>
          <w:szCs w:val="28"/>
        </w:rPr>
        <w:t>Topic 6</w:t>
      </w:r>
    </w:p>
    <w:p w:rsidR="00D11482" w:rsidRDefault="00D11482" w:rsidP="00FE525C">
      <w:pPr>
        <w:spacing w:after="0" w:line="240" w:lineRule="auto"/>
        <w:rPr>
          <w:b/>
          <w:bCs/>
          <w:sz w:val="28"/>
          <w:szCs w:val="28"/>
        </w:rPr>
      </w:pPr>
      <w:r w:rsidRPr="00FE525C">
        <w:rPr>
          <w:b/>
          <w:bCs/>
          <w:sz w:val="28"/>
          <w:szCs w:val="28"/>
        </w:rPr>
        <w:t>Independent Events</w:t>
      </w:r>
    </w:p>
    <w:p w:rsidR="00FE525C" w:rsidRPr="00FE525C" w:rsidRDefault="00FE525C" w:rsidP="00FE525C">
      <w:pPr>
        <w:spacing w:after="0" w:line="240" w:lineRule="auto"/>
        <w:rPr>
          <w:b/>
          <w:bCs/>
          <w:sz w:val="28"/>
          <w:szCs w:val="28"/>
        </w:rPr>
      </w:pPr>
    </w:p>
    <w:p w:rsidR="00D11482" w:rsidRDefault="00D11482" w:rsidP="00FE525C">
      <w:pPr>
        <w:spacing w:after="0" w:line="240" w:lineRule="auto"/>
      </w:pPr>
      <w:r>
        <w:t xml:space="preserve">Events (or Outcomes) are independent </w:t>
      </w:r>
      <w:proofErr w:type="spellStart"/>
      <w:r>
        <w:t>iff</w:t>
      </w:r>
      <w:proofErr w:type="spellEnd"/>
      <w:r>
        <w:t xml:space="preserve"> their joint probabilities are a product of their probabilities.</w:t>
      </w:r>
    </w:p>
    <w:p w:rsidR="00FE525C" w:rsidRDefault="00FE525C" w:rsidP="00FE525C">
      <w:pPr>
        <w:spacing w:after="0" w:line="240" w:lineRule="auto"/>
      </w:pPr>
    </w:p>
    <w:p w:rsidR="00D11482" w:rsidRDefault="00D11482" w:rsidP="00FE525C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1838325" cy="200025"/>
            <wp:effectExtent l="19050" t="0" r="9525" b="0"/>
            <wp:docPr id="1" name="Picture 1" descr="\mathrm{P}(A \cap B) = \mathrm{P}(A)\mathrm{P}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rm{P}(A \cap B) = \mathrm{P}(A)\mathrm{P}(B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5C" w:rsidRDefault="00FE525C" w:rsidP="00FE525C">
      <w:pPr>
        <w:spacing w:after="0" w:line="240" w:lineRule="auto"/>
      </w:pPr>
    </w:p>
    <w:p w:rsidR="00FE525C" w:rsidRDefault="00FE525C" w:rsidP="00FE525C">
      <w:pPr>
        <w:spacing w:after="0" w:line="240" w:lineRule="auto"/>
      </w:pPr>
      <w:r>
        <w:t>Variables that seem like they should be related may express this behavior.</w:t>
      </w:r>
    </w:p>
    <w:p w:rsidR="00FE525C" w:rsidRDefault="00FE525C" w:rsidP="00FE525C">
      <w:pPr>
        <w:spacing w:after="0" w:line="240" w:lineRule="auto"/>
      </w:pPr>
      <w:r>
        <w:t>Usually variables that seem related have association.</w:t>
      </w:r>
    </w:p>
    <w:p w:rsidR="00FE525C" w:rsidRDefault="00FE525C" w:rsidP="00FE525C">
      <w:pPr>
        <w:spacing w:after="0" w:line="240" w:lineRule="auto"/>
      </w:pPr>
    </w:p>
    <w:p w:rsidR="00FE525C" w:rsidRPr="00FE525C" w:rsidRDefault="00FE525C" w:rsidP="00FE525C">
      <w:pPr>
        <w:spacing w:after="0" w:line="240" w:lineRule="auto"/>
        <w:rPr>
          <w:b/>
          <w:bCs/>
        </w:rPr>
      </w:pPr>
      <w:r w:rsidRPr="00FE525C">
        <w:rPr>
          <w:b/>
          <w:bCs/>
        </w:rPr>
        <w:t xml:space="preserve">Method 1: </w:t>
      </w:r>
    </w:p>
    <w:p w:rsidR="00FE525C" w:rsidRDefault="00FE525C" w:rsidP="00FE525C">
      <w:pPr>
        <w:spacing w:after="0" w:line="240" w:lineRule="auto"/>
      </w:pPr>
      <w:r>
        <w:t>T</w:t>
      </w:r>
      <w:r w:rsidR="00F02174">
        <w:t xml:space="preserve">his </w:t>
      </w:r>
      <w:r>
        <w:t xml:space="preserve">equation translates </w:t>
      </w:r>
      <w:r w:rsidR="00F02174">
        <w:t>to the following</w:t>
      </w:r>
      <w:r>
        <w:t xml:space="preserve"> in two way tables</w:t>
      </w:r>
      <w:r w:rsidR="00F02174">
        <w:t xml:space="preserve">:  The joint distribution in a 2 way table is independent </w:t>
      </w:r>
      <w:proofErr w:type="gramStart"/>
      <w:r w:rsidR="00F02174">
        <w:t xml:space="preserve">if </w:t>
      </w:r>
      <w:r w:rsidR="00D11482">
        <w:t xml:space="preserve"> </w:t>
      </w:r>
      <w:r>
        <w:t>the</w:t>
      </w:r>
      <w:proofErr w:type="gramEnd"/>
      <w:r>
        <w:t xml:space="preserve"> relative frequency of the joint distribution is the product of its marginal frequencies.</w:t>
      </w:r>
    </w:p>
    <w:p w:rsidR="00D11482" w:rsidRDefault="00D11482" w:rsidP="00FE525C">
      <w:pPr>
        <w:spacing w:after="0" w:line="240" w:lineRule="auto"/>
      </w:pPr>
      <w:r>
        <w:t xml:space="preserve"> </w:t>
      </w:r>
    </w:p>
    <w:p w:rsidR="00FE525C" w:rsidRDefault="00FE525C">
      <w:r>
        <w:t xml:space="preserve"> 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160"/>
        <w:gridCol w:w="2250"/>
        <w:gridCol w:w="2250"/>
      </w:tblGrid>
      <w:tr w:rsidR="00FE525C" w:rsidTr="0091668F">
        <w:tc>
          <w:tcPr>
            <w:tcW w:w="1548" w:type="dxa"/>
            <w:tcBorders>
              <w:bottom w:val="single" w:sz="4" w:space="0" w:color="auto"/>
            </w:tcBorders>
          </w:tcPr>
          <w:p w:rsidR="00FE525C" w:rsidRDefault="00FE525C" w:rsidP="0091668F"/>
        </w:tc>
        <w:tc>
          <w:tcPr>
            <w:tcW w:w="2160" w:type="dxa"/>
            <w:shd w:val="clear" w:color="auto" w:fill="FABF8F" w:themeFill="accent6" w:themeFillTint="99"/>
          </w:tcPr>
          <w:p w:rsidR="00FE525C" w:rsidRDefault="00FE525C" w:rsidP="0091668F">
            <w:pPr>
              <w:jc w:val="center"/>
            </w:pPr>
            <w:r>
              <w:t>Females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FE525C" w:rsidRDefault="00FE525C" w:rsidP="0091668F">
            <w:pPr>
              <w:jc w:val="center"/>
            </w:pPr>
            <w:r>
              <w:t>Males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:rsidR="00FE525C" w:rsidRDefault="00FE525C" w:rsidP="0091668F">
            <w:pPr>
              <w:jc w:val="center"/>
            </w:pPr>
            <w:r>
              <w:t>Total</w:t>
            </w:r>
          </w:p>
        </w:tc>
      </w:tr>
      <w:tr w:rsidR="00FE525C" w:rsidTr="0091668F">
        <w:tc>
          <w:tcPr>
            <w:tcW w:w="1548" w:type="dxa"/>
            <w:shd w:val="clear" w:color="auto" w:fill="FABF8F" w:themeFill="accent6" w:themeFillTint="99"/>
          </w:tcPr>
          <w:p w:rsidR="00FE525C" w:rsidRPr="00D8729D" w:rsidRDefault="00FE525C" w:rsidP="0091668F">
            <w:pPr>
              <w:rPr>
                <w:color w:val="365F91" w:themeColor="accent1" w:themeShade="BF"/>
              </w:rPr>
            </w:pPr>
            <w:r w:rsidRPr="00D8729D">
              <w:t>Always</w:t>
            </w:r>
          </w:p>
        </w:tc>
        <w:tc>
          <w:tcPr>
            <w:tcW w:w="2160" w:type="dxa"/>
          </w:tcPr>
          <w:p w:rsidR="00FE525C" w:rsidRPr="00D8729D" w:rsidRDefault="00FE525C" w:rsidP="0091668F">
            <w:pPr>
              <w:jc w:val="center"/>
            </w:pPr>
            <w:r>
              <w:t>880</w:t>
            </w:r>
          </w:p>
        </w:tc>
        <w:tc>
          <w:tcPr>
            <w:tcW w:w="2250" w:type="dxa"/>
          </w:tcPr>
          <w:p w:rsidR="00FE525C" w:rsidRPr="00D8729D" w:rsidRDefault="00FE525C" w:rsidP="0091668F">
            <w:pPr>
              <w:jc w:val="center"/>
            </w:pPr>
            <w:r>
              <w:t>227</w:t>
            </w:r>
          </w:p>
        </w:tc>
        <w:tc>
          <w:tcPr>
            <w:tcW w:w="2250" w:type="dxa"/>
          </w:tcPr>
          <w:p w:rsidR="00FE525C" w:rsidRDefault="00FE525C" w:rsidP="0091668F">
            <w:pPr>
              <w:jc w:val="center"/>
            </w:pPr>
            <w:r>
              <w:t>1107</w:t>
            </w:r>
          </w:p>
        </w:tc>
      </w:tr>
      <w:tr w:rsidR="00FE525C" w:rsidTr="0091668F">
        <w:tc>
          <w:tcPr>
            <w:tcW w:w="1548" w:type="dxa"/>
            <w:shd w:val="clear" w:color="auto" w:fill="FABF8F" w:themeFill="accent6" w:themeFillTint="99"/>
          </w:tcPr>
          <w:p w:rsidR="00FE525C" w:rsidRPr="00D8729D" w:rsidRDefault="00FE525C" w:rsidP="0091668F">
            <w:r>
              <w:t>Never</w:t>
            </w:r>
          </w:p>
        </w:tc>
        <w:tc>
          <w:tcPr>
            <w:tcW w:w="2160" w:type="dxa"/>
          </w:tcPr>
          <w:p w:rsidR="00FE525C" w:rsidRDefault="00FE525C" w:rsidP="0091668F">
            <w:pPr>
              <w:jc w:val="center"/>
            </w:pPr>
            <w:r>
              <w:t>128</w:t>
            </w:r>
          </w:p>
        </w:tc>
        <w:tc>
          <w:tcPr>
            <w:tcW w:w="2250" w:type="dxa"/>
          </w:tcPr>
          <w:p w:rsidR="00FE525C" w:rsidRDefault="00FE525C" w:rsidP="0091668F">
            <w:pPr>
              <w:jc w:val="center"/>
            </w:pPr>
            <w:r>
              <w:t>32</w:t>
            </w:r>
          </w:p>
        </w:tc>
        <w:tc>
          <w:tcPr>
            <w:tcW w:w="2250" w:type="dxa"/>
          </w:tcPr>
          <w:p w:rsidR="00FE525C" w:rsidRDefault="00FE525C" w:rsidP="0091668F">
            <w:pPr>
              <w:jc w:val="center"/>
            </w:pPr>
            <w:r>
              <w:t>160</w:t>
            </w:r>
          </w:p>
        </w:tc>
      </w:tr>
      <w:tr w:rsidR="00FE525C" w:rsidTr="0091668F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:rsidR="00FE525C" w:rsidRDefault="00FE525C" w:rsidP="0091668F">
            <w:r>
              <w:t>Total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25C" w:rsidRDefault="00FE525C" w:rsidP="0091668F">
            <w:pPr>
              <w:jc w:val="center"/>
            </w:pPr>
            <w:r>
              <w:t>1008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25C" w:rsidRDefault="00FE525C" w:rsidP="0091668F">
            <w:pPr>
              <w:jc w:val="center"/>
            </w:pPr>
            <w:r>
              <w:t>259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25C" w:rsidRDefault="00FE525C" w:rsidP="0091668F">
            <w:pPr>
              <w:jc w:val="center"/>
            </w:pPr>
            <w:r>
              <w:t>1267</w:t>
            </w:r>
          </w:p>
        </w:tc>
      </w:tr>
    </w:tbl>
    <w:p w:rsidR="00D11482" w:rsidRDefault="00FE525C">
      <w:r>
        <w:t>With frequencies</w:t>
      </w:r>
    </w:p>
    <w:tbl>
      <w:tblPr>
        <w:tblW w:w="4620" w:type="dxa"/>
        <w:tblInd w:w="93" w:type="dxa"/>
        <w:tblLook w:val="04A0" w:firstRow="1" w:lastRow="0" w:firstColumn="1" w:lastColumn="0" w:noHBand="0" w:noVBand="1"/>
      </w:tblPr>
      <w:tblGrid>
        <w:gridCol w:w="960"/>
        <w:gridCol w:w="1220"/>
        <w:gridCol w:w="1220"/>
        <w:gridCol w:w="1220"/>
      </w:tblGrid>
      <w:tr w:rsidR="00FE525C" w:rsidRPr="00FE525C" w:rsidTr="00FE525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Females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Males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Total</w:t>
            </w:r>
          </w:p>
        </w:tc>
      </w:tr>
      <w:tr w:rsidR="00FE525C" w:rsidRPr="00FE525C" w:rsidTr="00FE525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FE525C" w:rsidRPr="00FE525C" w:rsidRDefault="00FE525C" w:rsidP="00FE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Always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0.87</w:t>
            </w:r>
          </w:p>
        </w:tc>
      </w:tr>
      <w:tr w:rsidR="00FE525C" w:rsidRPr="00FE525C" w:rsidTr="00FE525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FE525C" w:rsidRPr="00FE525C" w:rsidRDefault="00FE525C" w:rsidP="00FE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Never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0.13</w:t>
            </w:r>
          </w:p>
        </w:tc>
      </w:tr>
      <w:tr w:rsidR="00FE525C" w:rsidRPr="00FE525C" w:rsidTr="00FE525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FE525C" w:rsidRPr="00FE525C" w:rsidRDefault="00FE525C" w:rsidP="00FE5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0.20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25C" w:rsidRPr="00FE525C" w:rsidRDefault="00FE525C" w:rsidP="00FE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FE525C">
              <w:rPr>
                <w:rFonts w:ascii="Calibri" w:eastAsiaTheme="minorHAnsi" w:hAnsi="Calibri" w:cs="Calibri"/>
                <w:color w:val="000000"/>
                <w:lang w:eastAsia="en-US" w:bidi="he-IL"/>
              </w:rPr>
              <w:t>1.00</w:t>
            </w:r>
          </w:p>
        </w:tc>
      </w:tr>
    </w:tbl>
    <w:p w:rsidR="00FE525C" w:rsidRDefault="00FE525C">
      <w:r>
        <w:t xml:space="preserve"> </w:t>
      </w:r>
    </w:p>
    <w:p w:rsidR="00FE525C" w:rsidRDefault="00FE525C">
      <w:r>
        <w:t xml:space="preserve">Note </w:t>
      </w:r>
      <w:proofErr w:type="gramStart"/>
      <w:r>
        <w:t xml:space="preserve">that </w:t>
      </w:r>
      <w:r w:rsidR="00BD3383">
        <w:t xml:space="preserve"> </w:t>
      </w:r>
      <w:proofErr w:type="spellStart"/>
      <w:r>
        <w:t>p</w:t>
      </w:r>
      <w:proofErr w:type="gramEnd"/>
      <w:r w:rsidR="00BD3383">
        <w:t>_always</w:t>
      </w:r>
      <w:proofErr w:type="spellEnd"/>
      <w:r w:rsidR="00BD3383">
        <w:t xml:space="preserve">  x  </w:t>
      </w:r>
      <w:proofErr w:type="spellStart"/>
      <w:r w:rsidR="00BD3383">
        <w:t>p_Females</w:t>
      </w:r>
      <w:proofErr w:type="spellEnd"/>
      <w:r w:rsidR="00BD3383">
        <w:t xml:space="preserve"> = </w:t>
      </w:r>
      <w:proofErr w:type="spellStart"/>
      <w:r w:rsidR="00BD3383">
        <w:t>p_AlwaysFemale</w:t>
      </w:r>
      <w:r w:rsidR="000D06DD">
        <w:t>s</w:t>
      </w:r>
      <w:proofErr w:type="spellEnd"/>
      <w:r w:rsidR="00BD3383">
        <w:t>, or .87 x .80 = .69 (not exact due to round off err.)</w:t>
      </w:r>
    </w:p>
    <w:p w:rsidR="00BD3383" w:rsidRDefault="00BD3383">
      <w:pPr>
        <w:rPr>
          <w:b/>
          <w:bCs/>
        </w:rPr>
      </w:pPr>
      <w:r w:rsidRPr="00BD3383">
        <w:rPr>
          <w:b/>
          <w:bCs/>
        </w:rPr>
        <w:t>Method 2:</w:t>
      </w:r>
    </w:p>
    <w:p w:rsidR="00BD3383" w:rsidRPr="00BD3383" w:rsidRDefault="00BD3383">
      <w:r>
        <w:t>Categorical variables are said to be independent if the conditional distribution</w:t>
      </w:r>
      <w:r w:rsidR="001F56A1">
        <w:t>s</w:t>
      </w:r>
      <w:r>
        <w:t xml:space="preserve"> </w:t>
      </w:r>
      <w:r w:rsidR="00B967BB">
        <w:t xml:space="preserve">of the different values of a </w:t>
      </w:r>
      <w:r>
        <w:t>variable are identica</w:t>
      </w:r>
      <w:r w:rsidR="001F56A1">
        <w:t>l.   In a graph of relative frequencies on rows (conditioned on row values)</w:t>
      </w:r>
    </w:p>
    <w:tbl>
      <w:tblPr>
        <w:tblW w:w="4620" w:type="dxa"/>
        <w:tblInd w:w="93" w:type="dxa"/>
        <w:tblLook w:val="04A0" w:firstRow="1" w:lastRow="0" w:firstColumn="1" w:lastColumn="0" w:noHBand="0" w:noVBand="1"/>
      </w:tblPr>
      <w:tblGrid>
        <w:gridCol w:w="960"/>
        <w:gridCol w:w="1220"/>
        <w:gridCol w:w="1220"/>
        <w:gridCol w:w="1220"/>
      </w:tblGrid>
      <w:tr w:rsidR="00BD3383" w:rsidRPr="00BD3383" w:rsidTr="00BD338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Females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Males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Total</w:t>
            </w:r>
          </w:p>
        </w:tc>
      </w:tr>
      <w:tr w:rsidR="00BD3383" w:rsidRPr="00BD3383" w:rsidTr="00BD33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BD3383" w:rsidRPr="00BD3383" w:rsidRDefault="00BD3383" w:rsidP="00BD3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Always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0.</w:t>
            </w: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0.2</w:t>
            </w: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1</w:t>
            </w:r>
          </w:p>
        </w:tc>
      </w:tr>
      <w:tr w:rsidR="00BD3383" w:rsidRPr="00BD3383" w:rsidTr="00BD33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BD3383" w:rsidRPr="00BD3383" w:rsidRDefault="00BD3383" w:rsidP="00BD33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Never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0.80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BD3383">
              <w:rPr>
                <w:rFonts w:ascii="Calibri" w:eastAsiaTheme="minorHAnsi" w:hAnsi="Calibri" w:cs="Calibri"/>
                <w:color w:val="000000"/>
                <w:lang w:eastAsia="en-US" w:bidi="he-IL"/>
              </w:rPr>
              <w:t>0.20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383" w:rsidRPr="00BD3383" w:rsidRDefault="00BD3383" w:rsidP="00BD3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1</w:t>
            </w:r>
          </w:p>
        </w:tc>
      </w:tr>
    </w:tbl>
    <w:p w:rsidR="001F56A1" w:rsidRDefault="001F56A1">
      <w:r>
        <w:t>In a graph of relative frequencies on columns (conditioned on column values)</w:t>
      </w:r>
    </w:p>
    <w:tbl>
      <w:tblPr>
        <w:tblW w:w="3400" w:type="dxa"/>
        <w:tblInd w:w="93" w:type="dxa"/>
        <w:tblLook w:val="04A0" w:firstRow="1" w:lastRow="0" w:firstColumn="1" w:lastColumn="0" w:noHBand="0" w:noVBand="1"/>
      </w:tblPr>
      <w:tblGrid>
        <w:gridCol w:w="960"/>
        <w:gridCol w:w="1220"/>
        <w:gridCol w:w="1220"/>
      </w:tblGrid>
      <w:tr w:rsidR="001F56A1" w:rsidRPr="001F56A1" w:rsidTr="001F56A1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Females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Males</w:t>
            </w:r>
          </w:p>
        </w:tc>
      </w:tr>
      <w:tr w:rsidR="001F56A1" w:rsidRPr="001F56A1" w:rsidTr="001F56A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F56A1" w:rsidRPr="001F56A1" w:rsidRDefault="001F56A1" w:rsidP="001F5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Always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0.87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0.8</w:t>
            </w: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7</w:t>
            </w:r>
          </w:p>
        </w:tc>
      </w:tr>
      <w:tr w:rsidR="001F56A1" w:rsidRPr="001F56A1" w:rsidTr="001F56A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F56A1" w:rsidRPr="001F56A1" w:rsidRDefault="001F56A1" w:rsidP="001F5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Never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0.13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0.1</w:t>
            </w: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3</w:t>
            </w:r>
          </w:p>
        </w:tc>
      </w:tr>
      <w:tr w:rsidR="001F56A1" w:rsidRPr="001F56A1" w:rsidTr="001F56A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F56A1" w:rsidRPr="001F56A1" w:rsidRDefault="001F56A1" w:rsidP="001F5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1.00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56A1" w:rsidRPr="001F56A1" w:rsidRDefault="001F56A1" w:rsidP="001F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1.00</w:t>
            </w:r>
          </w:p>
        </w:tc>
      </w:tr>
    </w:tbl>
    <w:p w:rsidR="001F56A1" w:rsidRDefault="001F56A1">
      <w:pPr>
        <w:rPr>
          <w:b/>
          <w:bCs/>
          <w:sz w:val="28"/>
          <w:szCs w:val="28"/>
        </w:rPr>
      </w:pPr>
      <w:r w:rsidRPr="001F56A1">
        <w:rPr>
          <w:b/>
          <w:bCs/>
          <w:sz w:val="28"/>
          <w:szCs w:val="28"/>
        </w:rPr>
        <w:lastRenderedPageBreak/>
        <w:t>RELATIVE RISK</w:t>
      </w:r>
    </w:p>
    <w:tbl>
      <w:tblPr>
        <w:tblW w:w="3400" w:type="dxa"/>
        <w:tblInd w:w="93" w:type="dxa"/>
        <w:tblLook w:val="04A0" w:firstRow="1" w:lastRow="0" w:firstColumn="1" w:lastColumn="0" w:noHBand="0" w:noVBand="1"/>
      </w:tblPr>
      <w:tblGrid>
        <w:gridCol w:w="1269"/>
        <w:gridCol w:w="1107"/>
        <w:gridCol w:w="1024"/>
      </w:tblGrid>
      <w:tr w:rsidR="00135ACB" w:rsidRPr="001F56A1" w:rsidTr="0091668F">
        <w:trPr>
          <w:trHeight w:val="315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ACB" w:rsidRPr="001F56A1" w:rsidRDefault="00135ACB" w:rsidP="0091668F">
            <w:pPr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35ACB" w:rsidRPr="001F56A1" w:rsidRDefault="00C3063F" w:rsidP="0091668F">
            <w:pPr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 xml:space="preserve">Lung </w:t>
            </w:r>
            <w:r w:rsidR="00135ACB">
              <w:rPr>
                <w:rFonts w:ascii="Calibri" w:eastAsiaTheme="minorHAnsi" w:hAnsi="Calibri" w:cs="Calibri"/>
                <w:color w:val="000000"/>
                <w:lang w:eastAsia="en-US" w:bidi="he-IL"/>
              </w:rPr>
              <w:t>Disease</w:t>
            </w:r>
          </w:p>
        </w:tc>
      </w:tr>
      <w:tr w:rsidR="00135ACB" w:rsidRPr="001F56A1" w:rsidTr="0091668F">
        <w:trPr>
          <w:trHeight w:val="315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ACB" w:rsidRPr="001F56A1" w:rsidRDefault="00135ACB" w:rsidP="00916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35ACB" w:rsidRPr="001F56A1" w:rsidRDefault="00135ACB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Present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35ACB" w:rsidRPr="001F56A1" w:rsidRDefault="00135ACB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Absent</w:t>
            </w:r>
          </w:p>
        </w:tc>
      </w:tr>
      <w:tr w:rsidR="00135ACB" w:rsidRPr="001F56A1" w:rsidTr="00135ACB">
        <w:trPr>
          <w:trHeight w:val="315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35ACB" w:rsidRPr="001F56A1" w:rsidRDefault="00135ACB" w:rsidP="00916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Smoker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ACB" w:rsidRPr="001F56A1" w:rsidRDefault="00135ACB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X</w:t>
            </w:r>
            <w:r>
              <w:rPr>
                <w:rFonts w:ascii="Calibri" w:eastAsiaTheme="minorHAnsi" w:hAnsi="Calibri" w:cs="Calibri"/>
                <w:color w:val="000000"/>
                <w:vertAlign w:val="subscript"/>
                <w:lang w:eastAsia="en-US" w:bidi="he-IL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ACB" w:rsidRPr="001F56A1" w:rsidRDefault="00135ACB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X</w:t>
            </w:r>
            <w:r>
              <w:rPr>
                <w:rFonts w:ascii="Calibri" w:eastAsiaTheme="minorHAnsi" w:hAnsi="Calibri" w:cs="Calibri"/>
                <w:color w:val="000000"/>
                <w:vertAlign w:val="subscript"/>
                <w:lang w:eastAsia="en-US" w:bidi="he-IL"/>
              </w:rPr>
              <w:t>12</w:t>
            </w:r>
          </w:p>
        </w:tc>
      </w:tr>
      <w:tr w:rsidR="00135ACB" w:rsidRPr="001F56A1" w:rsidTr="00135ACB">
        <w:trPr>
          <w:trHeight w:val="315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135ACB" w:rsidRPr="001F56A1" w:rsidRDefault="00135ACB" w:rsidP="00916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NonSmoker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ACB" w:rsidRPr="001F56A1" w:rsidRDefault="00135ACB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X</w:t>
            </w:r>
            <w:r>
              <w:rPr>
                <w:rFonts w:ascii="Calibri" w:eastAsiaTheme="minorHAnsi" w:hAnsi="Calibri" w:cs="Calibri"/>
                <w:color w:val="000000"/>
                <w:vertAlign w:val="subscript"/>
                <w:lang w:eastAsia="en-US" w:bidi="he-IL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5ACB" w:rsidRPr="001F56A1" w:rsidRDefault="00135ACB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X</w:t>
            </w:r>
            <w:r>
              <w:rPr>
                <w:rFonts w:ascii="Calibri" w:eastAsiaTheme="minorHAnsi" w:hAnsi="Calibri" w:cs="Calibri"/>
                <w:color w:val="000000"/>
                <w:vertAlign w:val="subscript"/>
                <w:lang w:eastAsia="en-US" w:bidi="he-IL"/>
              </w:rPr>
              <w:t>22</w:t>
            </w:r>
          </w:p>
        </w:tc>
      </w:tr>
    </w:tbl>
    <w:p w:rsidR="00135ACB" w:rsidRDefault="00135ACB" w:rsidP="00135ACB">
      <w:pPr>
        <w:rPr>
          <w:b/>
          <w:bCs/>
          <w:sz w:val="28"/>
          <w:szCs w:val="28"/>
        </w:rPr>
      </w:pPr>
    </w:p>
    <w:p w:rsidR="00135ACB" w:rsidRPr="00135ACB" w:rsidRDefault="00135ACB" w:rsidP="00336781">
      <w:pPr>
        <w:rPr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Relative Risk=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/(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/(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when exposed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when not exposed</m:t>
                  </m:r>
                </m:sub>
              </m:sSub>
            </m:den>
          </m:f>
        </m:oMath>
      </m:oMathPara>
    </w:p>
    <w:p w:rsidR="00135ACB" w:rsidRDefault="003523D2">
      <w:r>
        <w:t>Essentially, the relative risk tells one how much more likely disease will occur if a subject is exposed to a treatment (treatment might be something bad, like chemical exposure, drug use,  radiation, or living for years  with someone that hums</w:t>
      </w:r>
      <w:r w:rsidR="00944BCE">
        <w:t xml:space="preserve"> constantly</w:t>
      </w:r>
      <w:r>
        <w:t>).</w:t>
      </w:r>
    </w:p>
    <w:tbl>
      <w:tblPr>
        <w:tblW w:w="3400" w:type="dxa"/>
        <w:tblInd w:w="93" w:type="dxa"/>
        <w:tblLook w:val="04A0" w:firstRow="1" w:lastRow="0" w:firstColumn="1" w:lastColumn="0" w:noHBand="0" w:noVBand="1"/>
      </w:tblPr>
      <w:tblGrid>
        <w:gridCol w:w="1269"/>
        <w:gridCol w:w="1107"/>
        <w:gridCol w:w="1024"/>
      </w:tblGrid>
      <w:tr w:rsidR="0091668F" w:rsidRPr="001F56A1" w:rsidTr="0091668F">
        <w:trPr>
          <w:trHeight w:val="315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668F" w:rsidRPr="001F56A1" w:rsidRDefault="0091668F" w:rsidP="0091668F">
            <w:pPr>
              <w:spacing w:after="0" w:line="240" w:lineRule="auto"/>
              <w:rPr>
                <w:rFonts w:ascii="Calibri" w:eastAsiaTheme="minorHAnsi" w:hAnsi="Calibri" w:cs="Calibri"/>
                <w:color w:val="000000"/>
                <w:lang w:eastAsia="en-US" w:bidi="he-IL"/>
              </w:rPr>
            </w:pPr>
            <w:r w:rsidRPr="001F56A1">
              <w:rPr>
                <w:rFonts w:ascii="Calibri" w:eastAsiaTheme="minorHAnsi" w:hAnsi="Calibri" w:cs="Calibri"/>
                <w:color w:val="000000"/>
                <w:lang w:eastAsia="en-US" w:bidi="he-IL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Lung Disease</w:t>
            </w:r>
          </w:p>
        </w:tc>
      </w:tr>
      <w:tr w:rsidR="0091668F" w:rsidRPr="001F56A1" w:rsidTr="0091668F">
        <w:trPr>
          <w:trHeight w:val="315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668F" w:rsidRPr="001F56A1" w:rsidRDefault="0091668F" w:rsidP="00916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Present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Absent</w:t>
            </w:r>
          </w:p>
        </w:tc>
      </w:tr>
      <w:tr w:rsidR="0091668F" w:rsidRPr="001F56A1" w:rsidTr="0091668F">
        <w:trPr>
          <w:trHeight w:val="315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91668F" w:rsidRPr="001F56A1" w:rsidRDefault="0091668F" w:rsidP="00916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Smoker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50</w:t>
            </w:r>
          </w:p>
        </w:tc>
      </w:tr>
      <w:tr w:rsidR="0091668F" w:rsidRPr="001F56A1" w:rsidTr="0091668F">
        <w:trPr>
          <w:trHeight w:val="315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hideMark/>
          </w:tcPr>
          <w:p w:rsidR="0091668F" w:rsidRPr="001F56A1" w:rsidRDefault="0091668F" w:rsidP="00916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he-IL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NonSmoker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668F" w:rsidRPr="001F56A1" w:rsidRDefault="0091668F" w:rsidP="00916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bscript"/>
                <w:lang w:bidi="he-IL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he-IL"/>
              </w:rPr>
              <w:t>180</w:t>
            </w:r>
          </w:p>
        </w:tc>
      </w:tr>
    </w:tbl>
    <w:p w:rsidR="0091668F" w:rsidRDefault="0091668F"/>
    <w:p w:rsidR="0091668F" w:rsidRDefault="0091668F">
      <w:r>
        <w:t xml:space="preserve">Then the relative risk = </w:t>
      </w:r>
      <w:proofErr w:type="spellStart"/>
      <w:r>
        <w:t>rr</w:t>
      </w:r>
      <w:proofErr w:type="spellEnd"/>
      <w:r>
        <w:t xml:space="preserve"> = [100</w:t>
      </w:r>
      <w:proofErr w:type="gramStart"/>
      <w:r>
        <w:t>/(</w:t>
      </w:r>
      <w:proofErr w:type="gramEnd"/>
      <w:r>
        <w:t xml:space="preserve">100+50)]/[20/(20+180)] = (100/150)/(20/200)= 6.67 </w:t>
      </w:r>
    </w:p>
    <w:p w:rsidR="003523D2" w:rsidRDefault="003523D2" w:rsidP="003523D2"/>
    <w:p w:rsidR="00C3063F" w:rsidRDefault="003523D2" w:rsidP="0071759B">
      <w:proofErr w:type="gramStart"/>
      <w:r w:rsidRPr="00C3063F">
        <w:rPr>
          <w:b/>
          <w:bCs/>
        </w:rPr>
        <w:t>Odds  Ratios</w:t>
      </w:r>
      <w:proofErr w:type="gramEnd"/>
      <w:r w:rsidRPr="00C3063F">
        <w:t xml:space="preserve"> are </w:t>
      </w:r>
      <w:r w:rsidR="00C3063F" w:rsidRPr="00C3063F">
        <w:t xml:space="preserve">also </w:t>
      </w:r>
      <w:r w:rsidRPr="00C3063F">
        <w:t>popular</w:t>
      </w:r>
      <w:r w:rsidR="00C3063F" w:rsidRPr="00C3063F">
        <w:t xml:space="preserve"> and well known.  </w:t>
      </w:r>
      <m:oMath>
        <m:r>
          <w:rPr>
            <w:rFonts w:ascii="Cambria Math" w:hAnsi="Cambria Math"/>
            <w:sz w:val="28"/>
            <w:szCs w:val="28"/>
          </w:rPr>
          <m:t xml:space="preserve">Odds </m:t>
        </m:r>
        <m:r>
          <w:rPr>
            <w:rFonts w:ascii="Cambria Math" w:hAnsi="Cambria Math"/>
            <w:sz w:val="28"/>
            <w:szCs w:val="28"/>
          </w:rPr>
          <m:t>Ratio</m:t>
        </m:r>
        <m:r>
          <w:rPr>
            <w:rFonts w:ascii="Cambria Math" w:hAnsi="Cambria Math"/>
            <w:sz w:val="28"/>
            <w:szCs w:val="28"/>
          </w:rPr>
          <m:t xml:space="preserve">=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/x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12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/x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sub>
            </m:sSub>
          </m:den>
        </m:f>
        <m:r>
          <w:rPr>
            <w:rFonts w:ascii="Cambria Math" w:hAnsi="Cambria Math"/>
          </w:rPr>
          <m:t xml:space="preserve">    </m:t>
        </m:r>
      </m:oMath>
      <w:r w:rsidR="00C3063F" w:rsidRPr="00C3063F">
        <w:t xml:space="preserve">   </w:t>
      </w:r>
    </w:p>
    <w:p w:rsidR="0091668F" w:rsidRPr="00C3063F" w:rsidRDefault="00F867B0" w:rsidP="0071759B">
      <w:r>
        <w:t>OR = (100/20</w:t>
      </w:r>
      <w:proofErr w:type="gramStart"/>
      <w:r>
        <w:t>)(</w:t>
      </w:r>
      <w:proofErr w:type="gramEnd"/>
      <w:r>
        <w:t>50/180) = 1.33</w:t>
      </w:r>
    </w:p>
    <w:p w:rsidR="0091668F" w:rsidRDefault="0091668F">
      <w:r>
        <w:t xml:space="preserve">Odd ratios are the ratio of odds of a disease in the exposed group to the odds in the unexposed group. </w:t>
      </w:r>
    </w:p>
    <w:p w:rsidR="00944BCE" w:rsidRPr="00C3063F" w:rsidRDefault="00944BCE">
      <w:r>
        <w:t xml:space="preserve">Odd ratios can give wild numbers that are hard to interpret.  </w:t>
      </w:r>
      <w:proofErr w:type="gramStart"/>
      <w:r>
        <w:t>Log(</w:t>
      </w:r>
      <w:proofErr w:type="gramEnd"/>
      <w:r>
        <w:t>OR) is often used for that reason.</w:t>
      </w:r>
    </w:p>
    <w:p w:rsidR="00F867B0" w:rsidRDefault="00F867B0">
      <w:bookmarkStart w:id="0" w:name="_GoBack"/>
      <w:bookmarkEnd w:id="0"/>
    </w:p>
    <w:p w:rsidR="00F867B0" w:rsidRDefault="00F867B0" w:rsidP="00F867B0">
      <w:pPr>
        <w:spacing w:after="0" w:line="240" w:lineRule="auto"/>
      </w:pPr>
      <w:r>
        <w:t>Comparison of the two measures:</w:t>
      </w:r>
    </w:p>
    <w:p w:rsidR="00C3063F" w:rsidRDefault="00C3063F" w:rsidP="00F867B0">
      <w:pPr>
        <w:pStyle w:val="ListParagraph"/>
        <w:numPr>
          <w:ilvl w:val="0"/>
          <w:numId w:val="1"/>
        </w:numPr>
        <w:spacing w:after="0" w:line="240" w:lineRule="auto"/>
      </w:pPr>
      <w:r w:rsidRPr="00C3063F">
        <w:t>Relat</w:t>
      </w:r>
      <w:r>
        <w:t>ive Risk is used in r</w:t>
      </w:r>
      <w:r w:rsidRPr="00C3063F">
        <w:t>andomized control trials</w:t>
      </w:r>
      <w:r>
        <w:t>.</w:t>
      </w:r>
    </w:p>
    <w:p w:rsidR="00C3063F" w:rsidRDefault="00DD2C4D" w:rsidP="00F867B0">
      <w:pPr>
        <w:pStyle w:val="ListParagraph"/>
        <w:numPr>
          <w:ilvl w:val="0"/>
          <w:numId w:val="1"/>
        </w:numPr>
        <w:spacing w:after="0" w:line="240" w:lineRule="auto"/>
      </w:pPr>
      <w:r>
        <w:t>Odds Ratio</w:t>
      </w:r>
      <w:r w:rsidR="00C3063F">
        <w:t>s are used in case-controlled studies.</w:t>
      </w:r>
    </w:p>
    <w:p w:rsidR="00F867B0" w:rsidRPr="00C3063F" w:rsidRDefault="00F867B0" w:rsidP="00F867B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RR </w:t>
      </w:r>
      <m:oMath>
        <m:r>
          <w:rPr>
            <w:rFonts w:ascii="Cambria Math" w:hAnsi="Cambria Math"/>
          </w:rPr>
          <m:t>~</m:t>
        </m:r>
      </m:oMath>
      <w:r>
        <w:t xml:space="preserve"> OR when x11 and x21 are small.</w:t>
      </w:r>
    </w:p>
    <w:p w:rsidR="00C3063F" w:rsidRPr="00C3063F" w:rsidRDefault="00C3063F">
      <w:pPr>
        <w:rPr>
          <w:b/>
          <w:bCs/>
        </w:rPr>
      </w:pPr>
    </w:p>
    <w:p w:rsidR="0091668F" w:rsidRDefault="0091668F">
      <w:pPr>
        <w:rPr>
          <w:b/>
          <w:bCs/>
          <w:sz w:val="28"/>
          <w:szCs w:val="28"/>
        </w:rPr>
      </w:pPr>
    </w:p>
    <w:p w:rsidR="0091668F" w:rsidRDefault="0091668F">
      <w:pPr>
        <w:rPr>
          <w:b/>
          <w:bCs/>
          <w:sz w:val="28"/>
          <w:szCs w:val="28"/>
        </w:rPr>
      </w:pPr>
    </w:p>
    <w:p w:rsidR="003523D2" w:rsidRDefault="003523D2">
      <w:pPr>
        <w:rPr>
          <w:b/>
          <w:bCs/>
          <w:sz w:val="28"/>
          <w:szCs w:val="28"/>
        </w:rPr>
      </w:pPr>
      <w:r w:rsidRPr="003523D2">
        <w:rPr>
          <w:b/>
          <w:bCs/>
          <w:sz w:val="28"/>
          <w:szCs w:val="28"/>
        </w:rPr>
        <w:lastRenderedPageBreak/>
        <w:t xml:space="preserve">Simpson’s Paradox </w:t>
      </w:r>
    </w:p>
    <w:p w:rsidR="003523D2" w:rsidRDefault="0071759B">
      <w:r>
        <w:t>Simpson paradox occurs when aggregated or combined proportions reverse in the direction of their relationship relative to the disaggregated proportions.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867"/>
        <w:gridCol w:w="500"/>
        <w:gridCol w:w="867"/>
        <w:gridCol w:w="500"/>
        <w:gridCol w:w="867"/>
        <w:gridCol w:w="515"/>
      </w:tblGrid>
      <w:tr w:rsidR="0071759B" w:rsidRPr="0071759B" w:rsidTr="00717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1995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1996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Combined</w:t>
            </w:r>
          </w:p>
        </w:tc>
      </w:tr>
      <w:tr w:rsidR="0071759B" w:rsidRPr="0071759B" w:rsidTr="00717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Derek Jeter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12/48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.250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183/582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.314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195/630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.310</w:t>
            </w:r>
          </w:p>
        </w:tc>
      </w:tr>
      <w:tr w:rsidR="0071759B" w:rsidRPr="0071759B" w:rsidTr="00717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David Justice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104/411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.253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45/140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.321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149/551</w:t>
            </w:r>
          </w:p>
        </w:tc>
        <w:tc>
          <w:tcPr>
            <w:tcW w:w="0" w:type="auto"/>
            <w:vAlign w:val="center"/>
            <w:hideMark/>
          </w:tcPr>
          <w:p w:rsidR="0071759B" w:rsidRPr="0071759B" w:rsidRDefault="0071759B" w:rsidP="0071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71759B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.270</w:t>
            </w:r>
          </w:p>
        </w:tc>
      </w:tr>
    </w:tbl>
    <w:p w:rsidR="0071759B" w:rsidRDefault="0071759B"/>
    <w:p w:rsidR="00D60D80" w:rsidRDefault="00D60D80" w:rsidP="00574AEC"/>
    <w:p w:rsidR="00D60D80" w:rsidRDefault="00D60D80">
      <w:r>
        <w:t>Simpson’s Paradox als</w:t>
      </w:r>
      <w:r w:rsidR="004073A4">
        <w:t>o occurs in continuous data</w:t>
      </w:r>
      <w:r>
        <w:t xml:space="preserve">.  X might be </w:t>
      </w:r>
      <w:r w:rsidR="004073A4">
        <w:t xml:space="preserve">the amount of a drug, with y as the </w:t>
      </w:r>
      <w:proofErr w:type="gramStart"/>
      <w:r w:rsidR="004073A4">
        <w:t xml:space="preserve">response </w:t>
      </w:r>
      <w:r>
        <w:t xml:space="preserve"> and</w:t>
      </w:r>
      <w:proofErr w:type="gramEnd"/>
      <w:r>
        <w:t xml:space="preserve"> the two lines representing </w:t>
      </w:r>
      <w:r w:rsidR="00CF3F3D">
        <w:t>men and women</w:t>
      </w:r>
      <w:r w:rsidR="004073A4">
        <w:t xml:space="preserve">.  Note that this is not due to an </w:t>
      </w:r>
      <w:proofErr w:type="gramStart"/>
      <w:r w:rsidR="004073A4">
        <w:t>imbalance  in</w:t>
      </w:r>
      <w:proofErr w:type="gramEnd"/>
      <w:r w:rsidR="004073A4">
        <w:t xml:space="preserve"> the population, but to the differences in baseline response between the two groups.</w:t>
      </w:r>
    </w:p>
    <w:p w:rsidR="00D60D80" w:rsidRDefault="00D60D80"/>
    <w:p w:rsidR="0071759B" w:rsidRPr="0071759B" w:rsidRDefault="0071759B">
      <w:r>
        <w:rPr>
          <w:noProof/>
          <w:lang w:eastAsia="en-US"/>
        </w:rPr>
        <w:drawing>
          <wp:inline distT="0" distB="0" distL="0" distR="0">
            <wp:extent cx="3714750" cy="2476500"/>
            <wp:effectExtent l="19050" t="0" r="0" b="0"/>
            <wp:docPr id="15" name="Picture 15" descr="File:Simpson's paradox continuou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le:Simpson's paradox continuous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59B" w:rsidRPr="0071759B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4D" w:rsidRDefault="00DD2C4D" w:rsidP="00D60D80">
      <w:pPr>
        <w:spacing w:after="0" w:line="240" w:lineRule="auto"/>
      </w:pPr>
      <w:r>
        <w:separator/>
      </w:r>
    </w:p>
  </w:endnote>
  <w:endnote w:type="continuationSeparator" w:id="0">
    <w:p w:rsidR="00DD2C4D" w:rsidRDefault="00DD2C4D" w:rsidP="00D6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4D" w:rsidRDefault="00DD2C4D" w:rsidP="00D60D80">
      <w:pPr>
        <w:spacing w:after="0" w:line="240" w:lineRule="auto"/>
      </w:pPr>
      <w:r>
        <w:separator/>
      </w:r>
    </w:p>
  </w:footnote>
  <w:footnote w:type="continuationSeparator" w:id="0">
    <w:p w:rsidR="00DD2C4D" w:rsidRDefault="00DD2C4D" w:rsidP="00D6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116A"/>
    <w:multiLevelType w:val="hybridMultilevel"/>
    <w:tmpl w:val="60EE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482"/>
    <w:rsid w:val="000D06DD"/>
    <w:rsid w:val="000D6D80"/>
    <w:rsid w:val="00135ACB"/>
    <w:rsid w:val="001F56A1"/>
    <w:rsid w:val="00336781"/>
    <w:rsid w:val="003523D2"/>
    <w:rsid w:val="004073A4"/>
    <w:rsid w:val="00574AEC"/>
    <w:rsid w:val="00610DF6"/>
    <w:rsid w:val="0071759B"/>
    <w:rsid w:val="00812F92"/>
    <w:rsid w:val="0091668F"/>
    <w:rsid w:val="00944BCE"/>
    <w:rsid w:val="00B91062"/>
    <w:rsid w:val="00B967BB"/>
    <w:rsid w:val="00BD3383"/>
    <w:rsid w:val="00C3063F"/>
    <w:rsid w:val="00CF3F3D"/>
    <w:rsid w:val="00D11482"/>
    <w:rsid w:val="00D21B8F"/>
    <w:rsid w:val="00D60D80"/>
    <w:rsid w:val="00DD2C4D"/>
    <w:rsid w:val="00F02174"/>
    <w:rsid w:val="00F867B0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2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35AC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6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D80"/>
  </w:style>
  <w:style w:type="paragraph" w:styleId="Footer">
    <w:name w:val="footer"/>
    <w:basedOn w:val="Normal"/>
    <w:link w:val="FooterChar"/>
    <w:uiPriority w:val="99"/>
    <w:semiHidden/>
    <w:unhideWhenUsed/>
    <w:rsid w:val="00D6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D80"/>
  </w:style>
  <w:style w:type="paragraph" w:styleId="ListParagraph">
    <w:name w:val="List Paragraph"/>
    <w:basedOn w:val="Normal"/>
    <w:uiPriority w:val="34"/>
    <w:qFormat/>
    <w:rsid w:val="00F86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E85A-9E0B-4AE9-89CE-512E8EAD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lemo1946</cp:lastModifiedBy>
  <cp:revision>6</cp:revision>
  <dcterms:created xsi:type="dcterms:W3CDTF">2013-09-19T13:25:00Z</dcterms:created>
  <dcterms:modified xsi:type="dcterms:W3CDTF">2013-09-19T16:38:00Z</dcterms:modified>
</cp:coreProperties>
</file>